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0" w:rsidRPr="00A26F96" w:rsidRDefault="002A4054" w:rsidP="003E345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26F96">
        <w:rPr>
          <w:rFonts w:ascii="Times New Roman" w:hAnsi="Times New Roman"/>
          <w:b/>
          <w:sz w:val="20"/>
          <w:szCs w:val="20"/>
        </w:rPr>
        <w:t>Plan wynikowy</w:t>
      </w:r>
      <w:r w:rsidR="00C50311" w:rsidRPr="00A26F96">
        <w:rPr>
          <w:rFonts w:ascii="Times New Roman" w:hAnsi="Times New Roman"/>
          <w:b/>
          <w:sz w:val="20"/>
          <w:szCs w:val="20"/>
        </w:rPr>
        <w:t xml:space="preserve"> z wymaganiami edukacyjnymi przedmiotu</w:t>
      </w:r>
      <w:r w:rsidR="00F62340">
        <w:rPr>
          <w:rFonts w:ascii="Times New Roman" w:hAnsi="Times New Roman"/>
          <w:b/>
          <w:sz w:val="20"/>
          <w:szCs w:val="20"/>
        </w:rPr>
        <w:t>biologia</w:t>
      </w:r>
      <w:r w:rsidR="006417D9" w:rsidRPr="00A26F96">
        <w:rPr>
          <w:rFonts w:ascii="Times New Roman" w:hAnsi="Times New Roman"/>
          <w:b/>
          <w:sz w:val="20"/>
          <w:szCs w:val="20"/>
        </w:rPr>
        <w:t xml:space="preserve">dla klasy </w:t>
      </w:r>
      <w:r w:rsidR="00F51F7F" w:rsidRPr="00A26F96">
        <w:rPr>
          <w:rFonts w:ascii="Times New Roman" w:hAnsi="Times New Roman"/>
          <w:b/>
          <w:sz w:val="20"/>
          <w:szCs w:val="20"/>
        </w:rPr>
        <w:t>III</w:t>
      </w:r>
      <w:r w:rsidR="006417D9" w:rsidRPr="00A26F96">
        <w:rPr>
          <w:rFonts w:ascii="Times New Roman" w:hAnsi="Times New Roman"/>
          <w:b/>
          <w:sz w:val="20"/>
          <w:szCs w:val="20"/>
        </w:rPr>
        <w:t xml:space="preserve">szkoły </w:t>
      </w:r>
      <w:r w:rsidR="00F51F7F" w:rsidRPr="00A26F96">
        <w:rPr>
          <w:rFonts w:ascii="Times New Roman" w:hAnsi="Times New Roman"/>
          <w:b/>
          <w:sz w:val="20"/>
          <w:szCs w:val="20"/>
        </w:rPr>
        <w:t>branżowej</w:t>
      </w:r>
    </w:p>
    <w:p w:rsidR="008A6530" w:rsidRPr="00A26F96" w:rsidRDefault="008A6530" w:rsidP="008A6530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A26F96">
        <w:rPr>
          <w:rFonts w:ascii="Times New Roman" w:hAnsi="Times New Roman"/>
          <w:b/>
          <w:sz w:val="20"/>
          <w:szCs w:val="20"/>
        </w:rPr>
        <w:t xml:space="preserve">Beata Jakubik, Renata Szymańska </w:t>
      </w:r>
    </w:p>
    <w:p w:rsidR="008A6530" w:rsidRPr="00A26F96" w:rsidRDefault="008A6530" w:rsidP="003E345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800EBE" w:rsidRPr="00A26F96" w:rsidRDefault="00800EB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287"/>
        <w:gridCol w:w="70"/>
        <w:gridCol w:w="2357"/>
        <w:gridCol w:w="2357"/>
        <w:gridCol w:w="2358"/>
        <w:gridCol w:w="2471"/>
      </w:tblGrid>
      <w:tr w:rsidR="00B1679D" w:rsidRPr="00A26F96" w:rsidTr="00A26F96">
        <w:tc>
          <w:tcPr>
            <w:tcW w:w="2244" w:type="dxa"/>
          </w:tcPr>
          <w:p w:rsidR="00800EBE" w:rsidRPr="00A26F96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A26F96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27" w:type="dxa"/>
            <w:gridSpan w:val="2"/>
          </w:tcPr>
          <w:p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71" w:type="dxa"/>
          </w:tcPr>
          <w:p w:rsidR="00800EBE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  <w:r w:rsidR="00F623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62340" w:rsidRPr="00A26F96" w:rsidRDefault="00F62340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800EBE" w:rsidRPr="00A26F96" w:rsidTr="008A6530">
        <w:tc>
          <w:tcPr>
            <w:tcW w:w="14144" w:type="dxa"/>
            <w:gridSpan w:val="7"/>
          </w:tcPr>
          <w:p w:rsidR="00800EBE" w:rsidRPr="00A26F96" w:rsidRDefault="00800EBE" w:rsidP="002621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F95814" w:rsidRPr="00A26F96">
              <w:rPr>
                <w:rFonts w:ascii="Times New Roman" w:hAnsi="Times New Roman"/>
                <w:b/>
                <w:bCs/>
                <w:sz w:val="20"/>
                <w:szCs w:val="20"/>
              </w:rPr>
              <w:t>EKSPRESJA INFORMACJI GENETYCZNEJ W KOMÓRKACH CZŁOWIEKA</w:t>
            </w:r>
          </w:p>
        </w:tc>
      </w:tr>
      <w:tr w:rsidR="000B633C" w:rsidRPr="00A26F96" w:rsidTr="00A26F96">
        <w:trPr>
          <w:trHeight w:val="2514"/>
        </w:trPr>
        <w:tc>
          <w:tcPr>
            <w:tcW w:w="2244" w:type="dxa"/>
          </w:tcPr>
          <w:p w:rsidR="000B633C" w:rsidRPr="00A26F96" w:rsidRDefault="000B633C" w:rsidP="000B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pacing w:val="2"/>
                <w:sz w:val="20"/>
                <w:szCs w:val="20"/>
              </w:rPr>
              <w:t>1. DNA jako nośnik informacji genetycznej</w:t>
            </w:r>
          </w:p>
        </w:tc>
        <w:tc>
          <w:tcPr>
            <w:tcW w:w="2287" w:type="dxa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rolę DNA w dziedziczeniu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wie, że DNA zawiera geny</w:t>
            </w:r>
            <w:r w:rsidR="00F6234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których zapisana jest informacja o białkach</w:t>
            </w:r>
          </w:p>
          <w:p w:rsidR="000B633C" w:rsidRPr="00A26F96" w:rsidRDefault="008A6530" w:rsidP="00D42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replikacja </w:t>
            </w:r>
            <w:r w:rsidR="00D42054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to proces podwojenia ilości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DNA</w:t>
            </w:r>
            <w:r w:rsidR="00D42054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komórkowego </w:t>
            </w:r>
          </w:p>
        </w:tc>
        <w:tc>
          <w:tcPr>
            <w:tcW w:w="2427" w:type="dxa"/>
            <w:gridSpan w:val="2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znaczenie odkrycia struktury DNA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informacja genetyczna przepływa od DNA przez RNA do białka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replikacji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posługuje się pojęciami: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gen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genom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sekwencjonowania </w:t>
            </w:r>
          </w:p>
        </w:tc>
        <w:tc>
          <w:tcPr>
            <w:tcW w:w="2357" w:type="dxa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318A6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omawia budowę DNA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podstawowy dogmat biologii molekularnej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nazywa kolejne jego procesy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lokalizację i przebieg replikacji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omawia strukturę genomu człowieka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budowę genu eukariotycznego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na czym polega sekwencjonowanie </w:t>
            </w:r>
          </w:p>
        </w:tc>
        <w:tc>
          <w:tcPr>
            <w:tcW w:w="2358" w:type="dxa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rozumie znaczenie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odkrycia struktury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DNA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wyjaśnia znaczenie podstawowego dogmatu biologii molekularnej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wyjaśnia udział poszczególnych enzymów w przebiegu replikacji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tłumaczy, na czym polega semikonserwatywność replikacji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wyjaśnia złożoność genomu człowieka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porównuje znane genomy organizmów i wyciąga wnioski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rozumie potrzebę sekwencjonowania </w:t>
            </w:r>
          </w:p>
        </w:tc>
        <w:tc>
          <w:tcPr>
            <w:tcW w:w="2471" w:type="dxa"/>
          </w:tcPr>
          <w:p w:rsidR="000B633C" w:rsidRPr="00A26F96" w:rsidRDefault="008A6530" w:rsidP="003318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na pods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tawie materiałów źródłowych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przygot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 xml:space="preserve">owuje notatkę dotyczącą wybranych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zsekwencjonowanych genomów ssaków i prezentuje</w:t>
            </w:r>
            <w:r w:rsidR="00F62340">
              <w:rPr>
                <w:rFonts w:ascii="Times New Roman" w:hAnsi="Times New Roman"/>
                <w:sz w:val="20"/>
                <w:szCs w:val="20"/>
              </w:rPr>
              <w:t xml:space="preserve"> ją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na forum klasy </w:t>
            </w:r>
          </w:p>
        </w:tc>
      </w:tr>
      <w:tr w:rsidR="000B633C" w:rsidRPr="00A26F96" w:rsidTr="00A26F96">
        <w:tc>
          <w:tcPr>
            <w:tcW w:w="2244" w:type="dxa"/>
          </w:tcPr>
          <w:p w:rsidR="000B633C" w:rsidRPr="00A26F96" w:rsidRDefault="000B633C" w:rsidP="000B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2. Ekspresja informacji genetycznej – od genu do białka</w:t>
            </w:r>
          </w:p>
        </w:tc>
        <w:tc>
          <w:tcPr>
            <w:tcW w:w="2287" w:type="dxa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informacja z DNA jest przepisywana na RNA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F6234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kod genetyczny </w:t>
            </w:r>
          </w:p>
        </w:tc>
        <w:tc>
          <w:tcPr>
            <w:tcW w:w="2427" w:type="dxa"/>
            <w:gridSpan w:val="2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ogólną istotę transkrypcji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F6234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mRNA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rozumie, że powstały po transkrypcji mRNA podlega obróbce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="003318A6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istotę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kodu genetycznego </w:t>
            </w:r>
          </w:p>
        </w:tc>
        <w:tc>
          <w:tcPr>
            <w:tcW w:w="2357" w:type="dxa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transkrypcji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rolę </w:t>
            </w:r>
            <w:r w:rsidR="003318A6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enzymów w przebiegu transkrypcji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wyjaśnia pojęci</w:t>
            </w:r>
            <w:r w:rsidR="00F62340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pierwotny transkrypt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0B633C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splicing RNA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cechy kodu genetycznego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odczytywać tabelę kodu genetycznego </w:t>
            </w:r>
          </w:p>
        </w:tc>
        <w:tc>
          <w:tcPr>
            <w:tcW w:w="2358" w:type="dxa"/>
          </w:tcPr>
          <w:p w:rsidR="003318A6" w:rsidRPr="00A26F96" w:rsidRDefault="008A6530" w:rsidP="00331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62340">
              <w:rPr>
                <w:rFonts w:ascii="Times New Roman" w:hAnsi="Times New Roman"/>
                <w:sz w:val="20"/>
                <w:szCs w:val="20"/>
              </w:rPr>
              <w:t>,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 xml:space="preserve"> czym jest ekspresja genu i kiedy zachodzi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omawiana schemacie poszczególne etapy transkrypcji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rolę polimerazy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RNA II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transkrypcji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korzystając z tabeli kodu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genetycznego</w:t>
            </w:r>
            <w:r w:rsidR="00F62340">
              <w:rPr>
                <w:rFonts w:ascii="Times New Roman" w:hAnsi="Times New Roman"/>
                <w:sz w:val="20"/>
                <w:szCs w:val="20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dopisuje do sekwencji nukleotydowej sekwencję aminokwasową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F62340">
              <w:rPr>
                <w:rFonts w:ascii="Times New Roman" w:hAnsi="Times New Roman"/>
                <w:sz w:val="20"/>
                <w:szCs w:val="20"/>
              </w:rPr>
              <w:t>,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 xml:space="preserve">czym są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wyjątki od uniwersalności kodu genetycznego </w:t>
            </w:r>
          </w:p>
        </w:tc>
        <w:tc>
          <w:tcPr>
            <w:tcW w:w="2471" w:type="dxa"/>
          </w:tcPr>
          <w:p w:rsidR="000B633C" w:rsidRPr="00A26F96" w:rsidRDefault="00F62340" w:rsidP="003318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rzygotowuje </w:t>
            </w:r>
            <w:r w:rsidR="003318A6" w:rsidRPr="00A26F96">
              <w:rPr>
                <w:rFonts w:ascii="Times New Roman" w:hAnsi="Times New Roman"/>
                <w:sz w:val="20"/>
                <w:szCs w:val="20"/>
              </w:rPr>
              <w:t>animację (np. w PowerPoint) obrazującą przebiegtranskrypcji</w:t>
            </w:r>
          </w:p>
        </w:tc>
      </w:tr>
      <w:tr w:rsidR="000B633C" w:rsidRPr="00A26F96" w:rsidTr="00A26F96">
        <w:tc>
          <w:tcPr>
            <w:tcW w:w="2244" w:type="dxa"/>
          </w:tcPr>
          <w:p w:rsidR="000B633C" w:rsidRPr="00A26F96" w:rsidRDefault="000B633C" w:rsidP="000B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Translacja – biosynteza białka </w:t>
            </w:r>
          </w:p>
        </w:tc>
        <w:tc>
          <w:tcPr>
            <w:tcW w:w="2287" w:type="dxa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białko powstaje w procesie translacji </w:t>
            </w:r>
          </w:p>
          <w:p w:rsidR="000B633C" w:rsidRPr="00A26F96" w:rsidRDefault="008A6530" w:rsidP="00651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rozumie, że li</w:t>
            </w:r>
            <w:r w:rsidR="00651D3E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czba białek jest dużo większa niż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genów w DNA </w:t>
            </w:r>
          </w:p>
        </w:tc>
        <w:tc>
          <w:tcPr>
            <w:tcW w:w="2427" w:type="dxa"/>
            <w:gridSpan w:val="2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zna rolę tRNA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wie, że translacja zachodzi na rybosomach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ogólną zasadę translacji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białko po translacji podlega modyfikacjom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51D3E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ogólny sens regulacji ekspresji </w:t>
            </w:r>
          </w:p>
        </w:tc>
        <w:tc>
          <w:tcPr>
            <w:tcW w:w="2357" w:type="dxa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omawia budowę tRNA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translacji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ogólne znaczenie i rodzaje mechanizmów regulacji ekspresji genów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regulacji ekspresji genów i omawia wybrane z nich </w:t>
            </w:r>
          </w:p>
        </w:tc>
        <w:tc>
          <w:tcPr>
            <w:tcW w:w="2358" w:type="dxa"/>
          </w:tcPr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wyjaśnia, dlaczego cząsteczki tRNA różnią się antykodonami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omawia poszczególne etapy translacji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F62340">
              <w:rPr>
                <w:rFonts w:ascii="Times New Roman" w:hAnsi="Times New Roman"/>
                <w:sz w:val="20"/>
                <w:szCs w:val="20"/>
              </w:rPr>
              <w:t>,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 xml:space="preserve"> na jakich etapach przepływu informacji genetycznej zachodzi regulacja ekspresji genów </w:t>
            </w:r>
          </w:p>
          <w:p w:rsidR="000B633C" w:rsidRPr="00A26F96" w:rsidRDefault="008A6530" w:rsidP="000B6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objaśnia sens biologiczny alternatywnego splicingu</w:t>
            </w:r>
          </w:p>
        </w:tc>
        <w:tc>
          <w:tcPr>
            <w:tcW w:w="2471" w:type="dxa"/>
          </w:tcPr>
          <w:p w:rsidR="000B633C" w:rsidRPr="00A26F96" w:rsidRDefault="00F62340" w:rsidP="000B6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0B633C" w:rsidRPr="00A26F96">
              <w:rPr>
                <w:rFonts w:ascii="Times New Roman" w:hAnsi="Times New Roman"/>
                <w:sz w:val="20"/>
                <w:szCs w:val="20"/>
              </w:rPr>
              <w:t>rzygotowuje prezentację multimedialną na temat interferencji RNA – odkrycie, mechanizm, możliwości wykorzystania (m.in. w medycynie, nauce)</w:t>
            </w:r>
          </w:p>
        </w:tc>
      </w:tr>
      <w:tr w:rsidR="001F4637" w:rsidRPr="00A26F96" w:rsidTr="008A6530">
        <w:tc>
          <w:tcPr>
            <w:tcW w:w="14144" w:type="dxa"/>
            <w:gridSpan w:val="7"/>
          </w:tcPr>
          <w:p w:rsidR="001F4637" w:rsidRPr="00A26F96" w:rsidRDefault="001F4637" w:rsidP="00F958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F95814" w:rsidRPr="00A26F96">
              <w:rPr>
                <w:rFonts w:ascii="Times New Roman" w:hAnsi="Times New Roman"/>
                <w:b/>
                <w:sz w:val="20"/>
                <w:szCs w:val="20"/>
              </w:rPr>
              <w:t>GENETYKA KLASYCZNA</w:t>
            </w:r>
          </w:p>
        </w:tc>
      </w:tr>
      <w:tr w:rsidR="008A6530" w:rsidRPr="00A26F96" w:rsidTr="00A26F96">
        <w:trPr>
          <w:trHeight w:val="357"/>
        </w:trPr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.Dziedziczenie cech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gen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allel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genotyp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fenotyp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homozygota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heterozygota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allel dominujący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allel recesywny</w:t>
            </w:r>
            <w:r w:rsidRPr="00A26F96">
              <w:t>,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podaje treść I prawa Mendla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podaje treść II prawa Mendla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227"/>
            </w:pP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hanging="9"/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allele wielokrotne</w:t>
            </w:r>
            <w:r w:rsidRPr="00A26F96">
              <w:t xml:space="preserve"> na przykładzie dziedziczenia grup krwi </w:t>
            </w:r>
            <w:r w:rsidRPr="00A26F96">
              <w:br/>
              <w:t>u człowieka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hanging="9"/>
            </w:pPr>
            <w:r w:rsidRPr="00A26F96">
              <w:t xml:space="preserve">– omawia doświadczenia G. Mendla, na podstawie których </w:t>
            </w:r>
            <w:r w:rsidR="00F62340">
              <w:t>zostały sformułowane</w:t>
            </w:r>
            <w:r w:rsidRPr="00A26F96">
              <w:t>reguły dziedziczenia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hanging="9"/>
            </w:pPr>
            <w:r w:rsidRPr="00A26F96">
              <w:t>– rozwiązuje przykładowe krzyżówki jednogenowe i dwugenowe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227"/>
            </w:pPr>
          </w:p>
        </w:tc>
        <w:tc>
          <w:tcPr>
            <w:tcW w:w="2357" w:type="dxa"/>
          </w:tcPr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krzyżówka testowa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dominacja niezupełna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kodominacja</w:t>
            </w:r>
            <w:r w:rsidRPr="00A26F96">
              <w:t>,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analizuje wyniki krzyżówek jednogenowych i dwugenowych na przykładzie grochu zwyczajnego 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analizuje prawdopodobieństwo wystąpienia genotypów </w:t>
            </w:r>
            <w:r w:rsidRPr="00A26F96">
              <w:br/>
              <w:t xml:space="preserve">i fenotypów u potomstwa </w:t>
            </w:r>
            <w:r w:rsidRPr="00A26F96">
              <w:br/>
              <w:t xml:space="preserve">w wypadku dziedziczenia </w:t>
            </w:r>
            <w:r w:rsidRPr="00A26F96">
              <w:lastRenderedPageBreak/>
              <w:t>jednej cechy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analizuje prawdopodobieństwo wystąpienia genotypów </w:t>
            </w:r>
            <w:r w:rsidRPr="00A26F96">
              <w:br/>
              <w:t xml:space="preserve">i fenotypów u potomstwa </w:t>
            </w:r>
            <w:r w:rsidRPr="00A26F96">
              <w:br/>
              <w:t>w wypadku dziedziczenia dwóch cech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-41"/>
            </w:pPr>
            <w:r w:rsidRPr="00A26F96">
              <w:lastRenderedPageBreak/>
              <w:t>– przeprowadza przykładowe krzyżówki testowe jednogenowe i wyjaśnia jej znaczenie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-41"/>
            </w:pPr>
            <w:r w:rsidRPr="00A26F96">
              <w:t xml:space="preserve">– przeprowadza i określa prawdopodobieństwo wystąpienia genotypów </w:t>
            </w:r>
            <w:r w:rsidRPr="00A26F96">
              <w:br/>
              <w:t xml:space="preserve">i fenotypów u potomstwa </w:t>
            </w:r>
            <w:r w:rsidRPr="00A26F96">
              <w:br/>
              <w:t>w wypadku dziedziczenia grup krwi i czynnika Rh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-41"/>
            </w:pP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-41"/>
            </w:pPr>
          </w:p>
        </w:tc>
        <w:tc>
          <w:tcPr>
            <w:tcW w:w="2471" w:type="dxa"/>
          </w:tcPr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13" w:hanging="13"/>
            </w:pPr>
            <w:r w:rsidRPr="00A26F96">
              <w:t xml:space="preserve">– ocenia znaczenie badań </w:t>
            </w:r>
            <w:r w:rsidRPr="00A26F96">
              <w:br/>
              <w:t>G. Mendla dla rozwoju genetyki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ind w:left="13" w:hanging="13"/>
            </w:pPr>
            <w:r w:rsidRPr="00A26F96">
              <w:t>– przedstawia przykłady cech człowieka dziedziczonych zgodnie z I prawem Mendla</w:t>
            </w:r>
          </w:p>
          <w:p w:rsidR="008A6530" w:rsidRPr="00A26F96" w:rsidRDefault="008A6530" w:rsidP="008A6530">
            <w:pPr>
              <w:spacing w:line="240" w:lineRule="auto"/>
              <w:ind w:left="13" w:hanging="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chorób genetycznych dziedziczonych według praw Mendla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A26F96">
              <w:rPr>
                <w:rFonts w:ascii="Times New Roman" w:hAnsi="Times New Roman"/>
                <w:color w:val="000000"/>
                <w:sz w:val="20"/>
                <w:szCs w:val="20"/>
              </w:rPr>
              <w:t>. Genetyczne uwarunkowania płci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kariotyp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chromosomy płci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cechy sprzężone z płcią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opisuje kariotyp człowieka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wymienia podobieństwa i różnice między kariotypem kobiety a kariotypem mężczyzny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wymienia przykłady cech sprzężonych z płcią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nosiciel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spacing w:line="240" w:lineRule="auto"/>
            </w:pPr>
            <w:r w:rsidRPr="00A26F96">
              <w:t xml:space="preserve">– wyjaśnia różnice i podobieństwa między kariotypem kobiety a kariotypem mężczyzny 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spacing w:line="240" w:lineRule="auto"/>
            </w:pPr>
            <w:r w:rsidRPr="00A26F96">
              <w:t>– tłumaczy sposób determinacji płci u człowieka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spacing w:line="240" w:lineRule="auto"/>
            </w:pPr>
            <w:r w:rsidRPr="00A26F96">
              <w:t>– wykonuje przykładowe krzyżówki dotyczące dziedziczenia cech sprzężonych z płcią</w:t>
            </w:r>
          </w:p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występowanie daltonizmu i hemofilii niemal wyłącznie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u mężczyzn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na podstawie krzyżówek przewiduje prawdopodobieństwo wystąpienia choroby sprzężonej z płcią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na podstawie analizy kariotypu określa płeć przedstawionych osób</w:t>
            </w:r>
          </w:p>
          <w:p w:rsidR="008A6530" w:rsidRPr="00A26F96" w:rsidRDefault="008A6530" w:rsidP="001066F6">
            <w:pPr>
              <w:pStyle w:val="Styl1"/>
              <w:numPr>
                <w:ilvl w:val="0"/>
                <w:numId w:val="0"/>
              </w:numPr>
              <w:spacing w:line="240" w:lineRule="auto"/>
              <w:ind w:firstLine="14"/>
            </w:pPr>
            <w:r w:rsidRPr="00A26F96">
              <w:t>– wyjaśnia przyczyny oraz podaje ogólne objawy hemofilii i daltonizmu</w:t>
            </w:r>
          </w:p>
          <w:p w:rsidR="008A6530" w:rsidRPr="00A26F96" w:rsidRDefault="008A6530" w:rsidP="001066F6">
            <w:pPr>
              <w:pStyle w:val="Styl1"/>
              <w:numPr>
                <w:ilvl w:val="0"/>
                <w:numId w:val="0"/>
              </w:numPr>
              <w:spacing w:line="240" w:lineRule="auto"/>
              <w:ind w:firstLine="14"/>
            </w:pPr>
            <w:r w:rsidRPr="00A26F96">
              <w:t xml:space="preserve">– określa płeć różnych osób na podstawie analizy ich kariotypu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A6530" w:rsidRPr="00A26F96" w:rsidRDefault="008A6530" w:rsidP="008A6530">
            <w:pPr>
              <w:pStyle w:val="Styl1"/>
              <w:numPr>
                <w:ilvl w:val="0"/>
                <w:numId w:val="0"/>
              </w:numPr>
            </w:pPr>
            <w:r w:rsidRPr="00A26F96">
              <w:t>– na podstawie przykładów wyjaśnia wpływ środowiska na determinowanie płci</w:t>
            </w:r>
          </w:p>
          <w:p w:rsidR="008A6530" w:rsidRPr="00A26F96" w:rsidRDefault="008A6530" w:rsidP="008A65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przyczyny i podaje główne objawy hemofilii i daltonizmu</w:t>
            </w:r>
          </w:p>
          <w:p w:rsidR="008A6530" w:rsidRPr="00A26F96" w:rsidRDefault="008A6530" w:rsidP="008A65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na podstawie krzyżówki genetycznej wyjaśnia różnicę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osobą zdrową a nosicielem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cechy związane z płcią</w:t>
            </w:r>
          </w:p>
          <w:p w:rsidR="008A6530" w:rsidRPr="00A26F96" w:rsidRDefault="008A6530" w:rsidP="008A65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chromatyna płciowa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(ciałko Barra)</w:t>
            </w:r>
          </w:p>
        </w:tc>
      </w:tr>
      <w:tr w:rsidR="008A6530" w:rsidRPr="00A26F96" w:rsidTr="008A6530">
        <w:tc>
          <w:tcPr>
            <w:tcW w:w="14144" w:type="dxa"/>
            <w:gridSpan w:val="7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III. ZMIENNOŚĆ ORGANIZMÓW 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color w:val="000000"/>
                <w:sz w:val="20"/>
                <w:szCs w:val="20"/>
              </w:rPr>
              <w:t>1. Zmienność organizmów i jej przyczyny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zmienność genetyczna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zmienność środowiskowa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wyróżnia rodzaje zmienności genetycznej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zmienności </w:t>
            </w:r>
            <w:r w:rsidRPr="00A26F96">
              <w:lastRenderedPageBreak/>
              <w:t xml:space="preserve">środowiskowej </w:t>
            </w:r>
          </w:p>
        </w:tc>
        <w:tc>
          <w:tcPr>
            <w:tcW w:w="2357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>– wyjaśnia przyczyny zmienności genetycznej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tłumaczy przyczyny zmienności środowiskowej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porównuje zmienność genetyczną ze </w:t>
            </w:r>
            <w:r w:rsidRPr="00A26F96">
              <w:lastRenderedPageBreak/>
              <w:t>zmiennością środowiskową</w:t>
            </w:r>
          </w:p>
        </w:tc>
        <w:tc>
          <w:tcPr>
            <w:tcW w:w="2357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lastRenderedPageBreak/>
              <w:t xml:space="preserve">– wyjaśnia różnice </w:t>
            </w:r>
            <w:r w:rsidR="003C2709" w:rsidRPr="00A26F96">
              <w:t>między</w:t>
            </w:r>
            <w:r w:rsidRPr="00A26F96">
              <w:t xml:space="preserve"> zmiennością rekombinacyjną i mutacyjną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wyjaśnia na przykładach</w:t>
            </w:r>
            <w:r w:rsidR="002501C3">
              <w:t>,</w:t>
            </w:r>
            <w:r w:rsidRPr="00A26F96">
              <w:t xml:space="preserve"> dlaczego zmienność środowiskowa </w:t>
            </w:r>
            <w:r w:rsidRPr="00A26F96">
              <w:lastRenderedPageBreak/>
              <w:t>nie jest dziedziczna</w:t>
            </w:r>
          </w:p>
          <w:p w:rsidR="008A6530" w:rsidRPr="00A26F96" w:rsidRDefault="008A6530" w:rsidP="0025680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wyjaśnia, w jaki sposób </w:t>
            </w:r>
            <w:r w:rsidRPr="001066F6">
              <w:rPr>
                <w:i/>
                <w:iCs/>
              </w:rPr>
              <w:t>crossing</w:t>
            </w:r>
            <w:r w:rsidR="002501C3" w:rsidRPr="001066F6">
              <w:rPr>
                <w:i/>
                <w:iCs/>
              </w:rPr>
              <w:t>-</w:t>
            </w:r>
            <w:r w:rsidRPr="001066F6">
              <w:rPr>
                <w:i/>
                <w:iCs/>
              </w:rPr>
              <w:t>over</w:t>
            </w:r>
            <w:r w:rsidRPr="00A26F96">
              <w:t xml:space="preserve"> wpływa na zmienność osobniczą </w:t>
            </w:r>
          </w:p>
        </w:tc>
        <w:tc>
          <w:tcPr>
            <w:tcW w:w="2358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lastRenderedPageBreak/>
              <w:t>– tłumaczy</w:t>
            </w:r>
            <w:r w:rsidR="00BF0205">
              <w:t>,</w:t>
            </w:r>
            <w:r w:rsidRPr="00A26F96">
              <w:t xml:space="preserve"> w jaki sposób losowe rozchodzenie się chromosomów podczas mutacji wpływa na zmienność osobniczą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 xml:space="preserve">– wyjaśnia przyczyny </w:t>
            </w:r>
            <w:r w:rsidRPr="00A26F96">
              <w:lastRenderedPageBreak/>
              <w:t xml:space="preserve">zmienności organizmów </w:t>
            </w:r>
            <w:r w:rsidRPr="00A26F96">
              <w:br/>
              <w:t>o identycznych genotypach</w:t>
            </w:r>
          </w:p>
        </w:tc>
        <w:tc>
          <w:tcPr>
            <w:tcW w:w="2471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>– wyjaśnia różnice między zmiennością ciągła i nieciągłą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planuje doświadczenie dotyczące zmienności cech ilościowych człowieka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2. Trwałe zmiany w materiale genetycznym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mutacja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genowa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chromosomowa strukturalna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chromosomowa liczbowa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fizycznych, chemicznych </w:t>
            </w:r>
            <w:r w:rsidRPr="00A26F96">
              <w:br/>
              <w:t>i biologicznych czynników mutagennych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mutacji genowych i mutacji chromosomowych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2357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rPr>
                <w:i/>
              </w:rPr>
            </w:pPr>
            <w:r w:rsidRPr="00A26F96">
              <w:t xml:space="preserve">– wyjaśnia pojęcia: </w:t>
            </w:r>
            <w:r w:rsidRPr="001066F6">
              <w:rPr>
                <w:i/>
                <w:iCs/>
              </w:rPr>
              <w:t>mutacja spontaniczna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mutacja indukowana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kryteria klasyfikacji mutacji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wyjaśnia przyczyny mutacji spontanicznych i mutacji indukowanych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wyjaśnia wpływ substancji mutagennych na częstość wystąpienia mutacji</w:t>
            </w:r>
          </w:p>
        </w:tc>
        <w:tc>
          <w:tcPr>
            <w:tcW w:w="2357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wyjaśnia pojęcia:</w:t>
            </w:r>
            <w:r w:rsidRPr="001066F6">
              <w:rPr>
                <w:i/>
                <w:iCs/>
              </w:rPr>
              <w:t>mutacje neutralne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mutacje korzystne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protoonkogeny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onkogeny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geny supresorowe</w:t>
            </w:r>
            <w:r w:rsidRPr="00A26F96">
              <w:t xml:space="preserve">, </w:t>
            </w:r>
            <w:r w:rsidRPr="001066F6">
              <w:rPr>
                <w:i/>
                <w:iCs/>
              </w:rPr>
              <w:t>geny naprawcze DNA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tłumaczy zmiany w DNA zachodzące w różnych typach mutacji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tłumaczy skutki mutacji genowych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>– określa skutki mutacji chromosomowych strukturalnych i liczbowych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podaje zależność występowania mutacji </w:t>
            </w:r>
            <w:r w:rsidR="00380B5B">
              <w:t>i</w:t>
            </w:r>
            <w:r w:rsidRPr="00A26F96">
              <w:t>powstania transformacji nowotworowej komórki</w:t>
            </w:r>
          </w:p>
        </w:tc>
        <w:tc>
          <w:tcPr>
            <w:tcW w:w="2358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tłumaczy konsekwencje dla dziedziczenia mutacji somatycznych i mutacji zachodzących w komórkach płciowych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wskazuje na schematach różne rodzaje mutacji chromosomowych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 xml:space="preserve">– wymienia przykłady chorób nowotworowych będących wynikiem mutacji </w:t>
            </w:r>
          </w:p>
        </w:tc>
        <w:tc>
          <w:tcPr>
            <w:tcW w:w="2471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tłumaczy znaczenie mutacji w przebiegu procesu ewolucji</w:t>
            </w:r>
          </w:p>
          <w:p w:rsidR="008A6530" w:rsidRPr="00A26F96" w:rsidRDefault="008A6530" w:rsidP="00A26F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rolę poradnictwa genetycznego w diagnostyce chorób nowotworowych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color w:val="000000"/>
                <w:sz w:val="20"/>
                <w:szCs w:val="20"/>
              </w:rPr>
              <w:t>3. Choroby genetyczne człowieka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wymienia przykłady chorób genetycznych uwarunkowanych obecnością w autosomach zmutowanych alleli dominujących i recesywnych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wymienia przykłady </w:t>
            </w:r>
            <w:r w:rsidRPr="00A26F96">
              <w:lastRenderedPageBreak/>
              <w:t xml:space="preserve">chorób genetycznych człowieka wynikających </w:t>
            </w:r>
            <w:r w:rsidRPr="00A26F96">
              <w:br/>
              <w:t xml:space="preserve">z nieprawidłowej liczby chromosomów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>– wymienia przykłady chorób genetycznych człowieka sprzężonych z chromosomami płci</w:t>
            </w:r>
          </w:p>
        </w:tc>
        <w:tc>
          <w:tcPr>
            <w:tcW w:w="2357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przedstawia klasyfikację chorób genetycznych w zależności od sposobu ich dziedziczenia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podaje ogólne objawy albinizmu, choroby Huntingtona, hemofilii, daltonizmu, zespołem </w:t>
            </w:r>
            <w:r w:rsidRPr="00A26F96">
              <w:lastRenderedPageBreak/>
              <w:t xml:space="preserve">Downa, zespołu Klinefeltera i zespołu Turnera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t xml:space="preserve">– wyjaśnia pojęcie </w:t>
            </w:r>
            <w:r w:rsidRPr="001066F6">
              <w:rPr>
                <w:i/>
                <w:iCs/>
              </w:rPr>
              <w:t>rodowód genetyczny</w:t>
            </w:r>
          </w:p>
        </w:tc>
        <w:tc>
          <w:tcPr>
            <w:tcW w:w="2357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lastRenderedPageBreak/>
              <w:t xml:space="preserve">– wyjaśnia znaczenie rodowodów w diagnostyce chorób genetycznych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wymienia przykłady stosowanych metod leczenia wybranych chorób genetycznych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lastRenderedPageBreak/>
              <w:t xml:space="preserve">– na podstawie analizy rodowodów ustala typ dziedziczenia choroby genetycznej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24"/>
            </w:pPr>
            <w:r w:rsidRPr="00A26F96">
              <w:t xml:space="preserve">– wyjaśnia zależność między wiekiem rodziców a prawdopodobieństwem urodzenia się dziecka </w:t>
            </w:r>
            <w:r w:rsidRPr="00A26F96">
              <w:br/>
              <w:t>z zespołem Downa</w:t>
            </w:r>
          </w:p>
        </w:tc>
        <w:tc>
          <w:tcPr>
            <w:tcW w:w="2358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 xml:space="preserve">– tłumaczy znaczenie analizy rodowodów jako metody diagnozowania chorób genetycznych 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 xml:space="preserve">– na podstawie analizy kariotypów człowieka rozpoznaje choroby genetyczne człowieka </w:t>
            </w:r>
            <w:r w:rsidRPr="00A26F96">
              <w:lastRenderedPageBreak/>
              <w:t>wynikające z nieprawidłowej liczby chromosomów</w:t>
            </w:r>
          </w:p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  <w:ind w:left="64"/>
            </w:pPr>
            <w:r w:rsidRPr="00A26F96">
              <w:t>– omawia przykłady chorób wieloczynnikowych</w:t>
            </w:r>
          </w:p>
        </w:tc>
        <w:tc>
          <w:tcPr>
            <w:tcW w:w="2471" w:type="dxa"/>
          </w:tcPr>
          <w:p w:rsidR="008A6530" w:rsidRPr="00A26F96" w:rsidRDefault="008A6530" w:rsidP="00A26F96">
            <w:pPr>
              <w:pStyle w:val="Styl1"/>
              <w:numPr>
                <w:ilvl w:val="0"/>
                <w:numId w:val="0"/>
              </w:numPr>
            </w:pPr>
            <w:r w:rsidRPr="00A26F96">
              <w:lastRenderedPageBreak/>
              <w:t>– wymienia przykłady chorób człowieka wynikających z mutacji mitochondrialnego DNA</w:t>
            </w:r>
          </w:p>
          <w:p w:rsidR="008A6530" w:rsidRPr="00A26F96" w:rsidRDefault="008A6530" w:rsidP="00A26F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:rsidTr="008A6530">
        <w:tc>
          <w:tcPr>
            <w:tcW w:w="14144" w:type="dxa"/>
            <w:gridSpan w:val="7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IV. BIOTECHNOLOGIA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1.Biotechnologia tradycyjna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96033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biotechnologia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przykłady produktów biotechnologii tradycyjnej (przetwory mleczne, alkohole)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biotechnologia tradycyjna jest wykorzystywana w farmacji i w ochronie środowiska 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 różnicę pomiędzy biotechnologią tradycyjną a nowoczesną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i cel stosowania sztucznej selekcji i krzyżowania gatunków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fermentacja jest najczęściej stosowanym procesem biotechnologicznym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produktów fermentacji w życiu codziennym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biotechnologia tradycyjna znalazła zastosowanie w przemyśle, rolnictwie i ochronie środowiska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uzasadnia na przykładach, że biotechnologia jest wykorzystywana od bardzo dawna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przykłady efektów działania sztucznej selekcji i krzyżowania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rodzaje fermentacji i omawia je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osiągnięcia biotechnologii tradycyjnej w przemyśle farmaceutycznym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tłumaczy</w:t>
            </w:r>
            <w:r w:rsidR="005C4B8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 sposób biotechnologia jest wykorzystywana w ochronie środowiska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znaczenie biotechnologii tradycyjnej w rolnictwie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uzasadnia, że obserwowane obecnie odmiany, rasy roślin i zwierząt są efektem działań biotechnologii tradycyjnej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gatunki mikroorganizmów przeprowadzających fermentację mleczanową i etanolową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znaczenie bioreaktorów w procesach biotechnologicznych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biofarmaceutyki uzyskiwane na drodze procesów biotechnologii tradycyjnej oraz ich przeznaczenie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9A7907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bioremediacja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tłumaczy, czym jest „zielony nawóz” </w:t>
            </w:r>
          </w:p>
        </w:tc>
        <w:tc>
          <w:tcPr>
            <w:tcW w:w="2471" w:type="dxa"/>
          </w:tcPr>
          <w:p w:rsidR="008A6530" w:rsidRPr="00A26F96" w:rsidRDefault="0096033B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rzygotowuje referat na temat bioremediacji (metody, mechanizmy, gatunki, </w:t>
            </w:r>
            <w:r w:rsidR="008A6530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in situ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6530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ex siu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itd.)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2. Biotechnologia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nowoczesna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zna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inżynieria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lastRenderedPageBreak/>
              <w:t>genetyczna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techniki inżynierii genetyczne pozwalają na manipulacje genetyczne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wie, że analizy DNA przeprowadza się na użytek medycyny sądowej, kryminalistyki i nauki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lastRenderedPageBreak/>
              <w:t>inżynieria genetyczna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biologia molekularna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kolory biotechnologii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zastosowania technik inżynierii genetycznej w medycynie sądowej i kryminalistyce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skąd pobierane są i czym są ślady biologiczne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przykłady wykorzystania technik inżynierii genetycznej w nauce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rozumie, że do rozwoju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biotechnologii nowoczesnej przyczynił postęp w innych naukach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działań obszarów (kolorów) biotechnologii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rekombinowanie DNA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dzieli metody wprowadzania genów na wektorowe i bezwektorowe 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podaje ich przykład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rodzaje wektorów (plazmidy, wirusy)</w:t>
            </w:r>
          </w:p>
          <w:p w:rsidR="008A6530" w:rsidRPr="00A26F96" w:rsidRDefault="008A6530" w:rsidP="0025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jakich sytuacjach zachodzi konieczność przeprowadzania analiz DNA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wyjaśnia</w:t>
            </w:r>
            <w:r w:rsidR="0005597F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co oznacza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rekombinowany DNA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znaczenie klonowania genów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wady i zalety metod wprowadzania wektorów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05597F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są geny markerowe i w jakim celu są wprowadzane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konkretne przykłady zastosowań inżynierii genetycznej w medycynie sądowej i kryminalistyce (na przykładzie materiałów źródłowych)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starożytny DNA</w:t>
            </w:r>
          </w:p>
        </w:tc>
        <w:tc>
          <w:tcPr>
            <w:tcW w:w="2471" w:type="dxa"/>
          </w:tcPr>
          <w:p w:rsidR="008A6530" w:rsidRPr="00A26F96" w:rsidRDefault="009A7907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o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pracowuje poster 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dotyczący kolorów biotechnologii</w:t>
            </w:r>
          </w:p>
          <w:p w:rsidR="008A6530" w:rsidRPr="00A26F96" w:rsidRDefault="009A7907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t>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rzygotowuje wystąpienie na temat projektów odtworzenia zwierząt wymarłych (mamut, tur)</w:t>
            </w:r>
          </w:p>
          <w:p w:rsidR="008A6530" w:rsidRPr="00A26F96" w:rsidRDefault="009A7907" w:rsidP="002568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rzygotowuje notatkę na temat działań Wydziału Archiwum X policji, w których posłużono się badaniami DNA (kilka przykładów spraw, jaki rodzaj badań, dlaczego etc.)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3. Mikroorganizmy genetycznie zmodyfikowane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jest organizm genetycznie zmodyfikowany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wie, że niektóre leki są uzyskiwane z wykorzystaniem mikroorganizmów GM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podaje definicję GMO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istotę szczepień ochronnych i rozumie sens pozyskiwania szczepionek DNA/RNA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</w:t>
            </w:r>
            <w:r w:rsidR="0005597F">
              <w:rPr>
                <w:rFonts w:ascii="Times New Roman" w:hAnsi="Times New Roman"/>
                <w:sz w:val="20"/>
                <w:szCs w:val="20"/>
                <w:lang w:eastAsia="pl-PL"/>
              </w:rPr>
              <w:t>ż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 zmodyfikowane bakterie wykorzystuje się do produkcji ludzkiej insuliny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przykłady obszarów gospodarki, w których wykorzystuje się mikroorganizmy GM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różnicę pomiędzy GMO a organizmem transgenicznym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 udział GMM w uzyskiwaniu i opracowywaniu szczepionek nowej generacji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tłumaczy, w jaki sposób z bakterii GM uzyskuje się ludzką insulinę </w:t>
            </w:r>
          </w:p>
          <w:p w:rsidR="008A6530" w:rsidRPr="00A26F96" w:rsidRDefault="008A6530" w:rsidP="0025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zastosowanie mikroorganizmów GM w rolnictwie, przemyśle i ochronie środowiska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porównuje szczepionki tradycyjne i te uzyskiwane metodami biotechnologicznymi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przewagę insuliny uzyskiwanej z bakterii GM w porównaniu z insuliną zwierzęcą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innych białek ludzkich uzyskiwanych z wykorzystaniem bakterii GM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konkretne przykłady zastosowania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mikroorganizmów GM w ochronie środowiska i przemyśle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4. Modyfikacje genetyczne roślin i zwierząt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2A702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dlaczego modyfikuje się rośliny i zwierzęta 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główne cele modyfikacji genetycznych roślin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główne cele modyfikacji genetycznych zwierząt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cele modyfikacji genetycznych roślin i podaje przykłady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zastosowania roślin GM w ochronie środowiska i medycynie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zasadę uzyskiwania zwierząt transgenicznych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cele modyfikacji genetycznych zwierząt i podaje przykłady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zastosowania zwierząt GM w nauce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związek modyfikacji genetycznych roślin z rosnąc</w:t>
            </w:r>
            <w:r w:rsidR="002A7026">
              <w:rPr>
                <w:rFonts w:ascii="Times New Roman" w:hAnsi="Times New Roman"/>
                <w:sz w:val="20"/>
                <w:szCs w:val="20"/>
              </w:rPr>
              <w:t>ą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liczbą ludności na świecie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roślin transgenicznych i efekty ich modyfikacji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2A7026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są rośliny Bt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białek wytwarzanych w roślinach GM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istotę metod</w:t>
            </w:r>
            <w:r w:rsidR="002A7026">
              <w:rPr>
                <w:rFonts w:ascii="Times New Roman" w:hAnsi="Times New Roman"/>
                <w:sz w:val="20"/>
                <w:szCs w:val="20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uzyskiwania zwierząt transgenicznych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zwierząt transgenicznych i efekty tych modyfikacji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białek wytwarzanych w mleku, krwi i moczu zwierząt GM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</w:t>
            </w:r>
            <w:r w:rsidR="009F10AF">
              <w:rPr>
                <w:rFonts w:ascii="Times New Roman" w:hAnsi="Times New Roman"/>
                <w:sz w:val="20"/>
                <w:szCs w:val="20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rolę zwierząt GM jako modeli chorób człowieka</w:t>
            </w:r>
          </w:p>
        </w:tc>
        <w:tc>
          <w:tcPr>
            <w:tcW w:w="2471" w:type="dxa"/>
          </w:tcPr>
          <w:p w:rsidR="002A7026" w:rsidRDefault="002A7026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pracowuje dane dotyczące roślin GM pobrane z raportu ISAAA i prezentuje na forum klasy</w:t>
            </w:r>
          </w:p>
          <w:p w:rsidR="008A6530" w:rsidRPr="00A26F96" w:rsidRDefault="002A7026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rzygotowuje prezentację o transgenicznym lnie opracowanym przez naukowców z Wrocławia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5. Zagrożenia związane z GMO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stosowanie organizmów genetycznie zmodyfikowanych musi podlegać kontroli 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przykład</w:t>
            </w:r>
            <w:r w:rsidR="002A7026">
              <w:rPr>
                <w:rFonts w:ascii="Times New Roman" w:hAnsi="Times New Roman"/>
                <w:sz w:val="20"/>
                <w:szCs w:val="20"/>
                <w:lang w:eastAsia="pl-PL"/>
              </w:rPr>
              <w:t>owe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obaw</w:t>
            </w:r>
            <w:r w:rsidR="002A7026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związan</w:t>
            </w:r>
            <w:r w:rsidR="002A7026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GMO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argumenty przeciwników GMO i się do nich ustosunkowuje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dyskutuje na temat obaw związanych z obrotem GMO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60EB">
              <w:rPr>
                <w:rFonts w:ascii="Times New Roman" w:hAnsi="Times New Roman"/>
                <w:sz w:val="20"/>
                <w:szCs w:val="20"/>
              </w:rPr>
              <w:t>dostrzega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konieczność kontroli i doskonalenia metod ich uzyskiwania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umie rzetelnie oceniać przedstawione informacje i się do nich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ustosunkowywać </w:t>
            </w:r>
          </w:p>
        </w:tc>
        <w:tc>
          <w:tcPr>
            <w:tcW w:w="2471" w:type="dxa"/>
          </w:tcPr>
          <w:p w:rsidR="008A6530" w:rsidRPr="00A26F96" w:rsidRDefault="002A7026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rzygotowuje, przeprowadza i opracowuje ankietę dotycząca znajomości </w:t>
            </w:r>
            <w:r w:rsidR="002360EB">
              <w:rPr>
                <w:rFonts w:ascii="Times New Roman" w:hAnsi="Times New Roman"/>
                <w:sz w:val="20"/>
                <w:szCs w:val="20"/>
              </w:rPr>
              <w:t>zagadnień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związan</w:t>
            </w:r>
            <w:r w:rsidR="002360EB">
              <w:rPr>
                <w:rFonts w:ascii="Times New Roman" w:hAnsi="Times New Roman"/>
                <w:sz w:val="20"/>
                <w:szCs w:val="20"/>
              </w:rPr>
              <w:t>ych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z GMO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6. Klonowanie organizmów 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przykłady naturalnych klonów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klonowanie prowadzi do uzyskania organizmu identycznego </w:t>
            </w:r>
            <w:r w:rsidR="002360EB"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macierzystym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 względem genetycznym 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naturalne klony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 techniki inżynierii genetycznej umożliwiają uzyskiwanie klonów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komórki macierzyste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rozumie potencjał wykorzystani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komórek macierzystych w medycynie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profilaktyka zdrowotna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poradnictwo genetyczne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czym jest klon danego organizmu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jedną z metod klonowania organizmów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międzygatunkowe klonowanie somatyczne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i omawia rodzaje komórek macierzystych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rolę banków krwi pępowinowej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klonowania terapeutycznego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sens poradnictwa genetycznego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znaczenie testów genetycznych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potrafi wskazać naturalne klony </w:t>
            </w:r>
            <w:r w:rsidR="002360EB">
              <w:rPr>
                <w:rFonts w:ascii="Times New Roman" w:hAnsi="Times New Roman"/>
                <w:sz w:val="20"/>
                <w:szCs w:val="20"/>
              </w:rPr>
              <w:t>w danym zbiorze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</w:t>
            </w:r>
            <w:r w:rsidR="002360EB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na czym polega klonowanie metodą transferu jąder komórkowych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potencjał międzygatunkowego klonowania somatycznego w kontekście ochrony </w:t>
            </w:r>
            <w:r w:rsidR="002360EB" w:rsidRPr="00A26F96">
              <w:rPr>
                <w:rFonts w:ascii="Times New Roman" w:hAnsi="Times New Roman"/>
                <w:sz w:val="20"/>
                <w:szCs w:val="20"/>
              </w:rPr>
              <w:t xml:space="preserve">gatunków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zagrożonych wyginięciem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źródła pochodzenia rodzajów komórek macierzystych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zna możliwości wykorzystania indukowanych komórek pluripotentnych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trudności związane z rutynowym wykorzystaniem komórek macierzystych w leczeniu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sytuacje, które wymagają wizyty w poradni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genetycznej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wykonywania testów genetycznych 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przygotowuje referat na temat przykładów wykorzystania komórek macierzystych i problemów z ich rutynowym wykorzystaniem 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7. Terapia genowa 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terapia genowa jest szansą na leczenie chorób o podłożu genetycznym 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wyjaśnia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terapia genowa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rozumie szanse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daje terapia genowa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istotę terapii genowej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sukcesy i porażki terapii genowej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istotę dopingu genetycznego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dyskutuje na temat szans i trudności w wykorzystaniu terapii genowej w leczeniu chorób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i analizuje przyczyny małej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skuteczności terapii genowej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dyskutuje na temat nielegalnego wykorzystania terapii genowej </w:t>
            </w:r>
          </w:p>
        </w:tc>
        <w:tc>
          <w:tcPr>
            <w:tcW w:w="2471" w:type="dxa"/>
          </w:tcPr>
          <w:p w:rsidR="008A6530" w:rsidRPr="00A26F96" w:rsidRDefault="002360EB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rzygotowuje prezentację multimedialną na temat </w:t>
            </w:r>
            <w:r w:rsidR="008A6530" w:rsidRPr="00A26F96">
              <w:rPr>
                <w:rFonts w:ascii="Times New Roman" w:hAnsi="Times New Roman"/>
                <w:i/>
                <w:sz w:val="20"/>
                <w:szCs w:val="20"/>
              </w:rPr>
              <w:t>bubblebabies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i możliwości terapii genowej w tym zakresie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8. Szanse i zagrożenia związane z biotechnologią i inżynierią genetyczną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biotechnologia wzbudza wiele obaw i kontrowersji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wie</w:t>
            </w:r>
            <w:r w:rsidR="002360E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 istnieją akty prane regulujące kwestie GMO i biotechnologii 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zna główne kontrowersje związane z biotechnologią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przykłady aktów prawych dotyczących GMO i biotechnologii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i tłumaczy kontrowersje związane z biotechnologią (diagnostyka preimplantacyjna, banki gamet i zarodków, bioterroryzm)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>– wymienia akty prawne regulujące kwestie biotechnologii i GMO (krajowe, unijne i międzynarodowe)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dyskutuje na temat kontrowersji związanych z biotechnologią i GMO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akty prawne dotyczące biotechnologii i GMO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zna krajowe organy odpowiedzialne za sprawy związane z biotechnologią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konieczność popularyzacji wiedzy biotechnologicznej i edukacji społeczeństwa </w:t>
            </w:r>
          </w:p>
        </w:tc>
        <w:tc>
          <w:tcPr>
            <w:tcW w:w="2471" w:type="dxa"/>
          </w:tcPr>
          <w:p w:rsidR="008A6530" w:rsidRPr="00A26F96" w:rsidRDefault="002360EB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rzygotowuje miniwykład popularnonaukowy pt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„Szanse i zagrożenia związane z biotechnologią”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>wygłasza go na forum klasy</w:t>
            </w:r>
          </w:p>
        </w:tc>
      </w:tr>
      <w:tr w:rsidR="008A6530" w:rsidRPr="00A26F96" w:rsidTr="008A6530">
        <w:tc>
          <w:tcPr>
            <w:tcW w:w="14144" w:type="dxa"/>
            <w:gridSpan w:val="7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 xml:space="preserve">V. EWOLUCJONIZM 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1.His</w:t>
            </w:r>
            <w:r w:rsidR="00F62340">
              <w:rPr>
                <w:rFonts w:ascii="Times New Roman" w:hAnsi="Times New Roman"/>
                <w:sz w:val="20"/>
                <w:szCs w:val="20"/>
              </w:rPr>
              <w:t>t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oria rozwoju myśli ewolucyjnej 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definicję ewolucji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Karola Darwina jako twórcę teorii ewolucji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adaptacje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współczesna teoria ewolucji uwzględnia osiągnięcia innych dziedzin, np. genetyki 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teoria ewolucji Darwina obaliła inne poglądy na ewolucję 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rozumie, że adaptacje zwiększają przeżywalność i rozrodczość zwierząt w środowisku ich życia 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blisko spokrewnione gatunki wywodzą się od wspólnego przodka 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założeń teorii Darwina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praktycznego zastosowania ewolucji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teorie dotyczące różnorodności biologicznej przed Darwinem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 w:rsidR="002360EB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skąd Darwin czerpał informacje o ewolucji gatunków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wyjaśnia, w jaki sposób Darwin tłumaczył jedność życia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założenia teorii Darwina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syntetyczn</w:t>
            </w:r>
            <w:r w:rsidR="002360EB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teori</w:t>
            </w:r>
            <w:r w:rsidR="002360EB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ewolucji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założenia kreacjonizmu i podaje nazwiska znanych kreacjonistów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założenia teorii Lamarcka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i rozumie znacznie miejsc badań przyrodniczych Karola Darwina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istotę założeń teorii Darwina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</w:t>
            </w:r>
            <w:r w:rsidR="002360EB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syntetyczna teoria ewolucji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porównuje i wyjaśnia założenia teorii Lamarcka i Darwina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na podstawie informacji tekstowych sporządza proste drzewo filogenetyczne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osadza i tłumaczy zachodzenie ewolucji na poziomie molekularnym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przygotowuje prezentację multimedialną na temat życia Karola Darwina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Dowody ewolucji 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skamieniałości są dowodami na zachodzenie ewolucji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niektóre narządy zwierząt pełnią taką samą funkcję, ale mają inną budową (skrzydła ptaków, owadów) i są adaptacją do warunków życia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zmiany ewolucyjne zachodzą także na poziomie genetycznym 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skamieniałości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rozróżnia narządy homologiczne i analogiczne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biochemię</w:t>
            </w:r>
            <w:r w:rsidR="00A454B7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genetykę jako dziedziny dostarczające dowodów na zachodzenie ewolucji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istnienie skamieniałości w kontekście ewolucji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narządów homologicznych i analogicznych </w:t>
            </w:r>
            <w:r w:rsidR="00256806">
              <w:rPr>
                <w:rFonts w:ascii="Times New Roman" w:hAnsi="Times New Roman"/>
                <w:sz w:val="20"/>
                <w:szCs w:val="20"/>
              </w:rPr>
              <w:t>oraz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wskazuje na ich związek ze środowiskiem życia organizmów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molekularnych dowodów na zachodzenie ewolucji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 sposób powstają skamieniałości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rozróżnia na przykładach homologię i analogię narządów oraz tłumaczy mechanizm ich powstawania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interpretuje zmiany na poziomie genetycznym i biochemicznym w kontekście pokrewieństwa gatunków 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 sposób można wykorzystać wiedzę na temat żywych skamieniałości w badaniu ewolucji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wiedzy, podaje mniej znane przykłady homologii i analogii narządów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3. Mechanizmy ewolucji 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ewolucji podlega populacja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najlepiej przystosowane organizmy mają największe szanse na przeżycie i wydanie potomstwa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 istotę powstawania nowych gatunków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niektóre gatunki wymarły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pojęcia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zna pojęci</w:t>
            </w:r>
            <w:r w:rsidR="00C502F8">
              <w:rPr>
                <w:rFonts w:ascii="Times New Roman" w:hAnsi="Times New Roman"/>
                <w:sz w:val="20"/>
                <w:szCs w:val="20"/>
              </w:rPr>
              <w:t>a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dob</w:t>
            </w:r>
            <w:r w:rsidR="00C502F8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ór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naturaln</w:t>
            </w:r>
            <w:r w:rsidR="00C502F8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walk</w:t>
            </w:r>
            <w:r w:rsidR="00C502F8"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 byt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rozumie, że warunki środowiska wpływają na wykształcenie określonych adaptacji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w jakich warunkach może powstać oporność na antybiotyki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bariery rozrodcze uniemożliwiają krzyżowanie się gatunków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że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w określonych warunkach może dojść do powstania nowych gatunków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rozumie przyczyny wymierania niektórych gatunków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genotypów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częstość fenotypów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czynniki ewolucji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walka o byt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dryf genetyczny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rodzaje doboru naturalnego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omawia rolę doboru naturalnego w powstawaniu adaptacji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melanizm przemysłowy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związek pomiędzy występowaniem zarodźca malarii i niedokrwistości sierpowatej 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 w:rsidR="00C502F8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izolacja rozrodcza i podaje </w:t>
            </w:r>
            <w:r w:rsidR="00C502F8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przykłady 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wie, w jaki sposób dochodzi do powstawania nowych gatunków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tłumaczy</w:t>
            </w:r>
            <w:r w:rsidR="00C502F8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jest pula genowa na przykładzie konkretnej populacji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znaczenie krzyżowania losowego, mutacji, dryfu genetycznego, walki o byt, migracji i doboru naturalnego w zachodzeniu procesu ewolucji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mechanizm powstawania oporności na antybiotyki</w:t>
            </w:r>
            <w:r w:rsidR="00C502F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pestycydy oraz adaptacji ochronnych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rolę doboru naturalnego na częstość występowania alleli warunkujących choroby genetyczne 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definiuje </w:t>
            </w:r>
            <w:r w:rsidR="00C502F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specjacj</w:t>
            </w:r>
            <w:r w:rsidR="00C502F8" w:rsidRPr="001066F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a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objaśnia mechanizm </w:t>
            </w: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powstawania nowych gatunków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tłumaczy, w jakich warunkach może dojść do wymierania gatunków 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interpretuje na konkretnych przykładach znaczenie zmienności genetycznej i mutacji w kontekście mechanizmów ewolucji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sposób dziedziczenia niedokrwistości sierpowatej i rolę doboru naturalnego w częstości alleli warunkujących tę chorobę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przygotowuje prezentację multimedialną na temat antybiotyko</w:t>
            </w:r>
            <w:r w:rsidR="002B4F72">
              <w:rPr>
                <w:rFonts w:ascii="Times New Roman" w:hAnsi="Times New Roman"/>
                <w:sz w:val="20"/>
                <w:szCs w:val="20"/>
              </w:rPr>
              <w:t>od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porności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przygotowuje referat na temat „wielkich wymierań”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4. Powstanie i dzieje życia na Ziemi 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życie na Ziemi powstawało stopniowo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wie, że dzieje Ziemi podzielono na etapy, w których miały miejsce określone wydarzenia (np. dominacja</w:t>
            </w:r>
            <w:r w:rsidR="002B4F72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a potem wymieranie dinozaurów) </w:t>
            </w: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szacunkowy wiek Ziemi 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przykłady pierwotnych form życia 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er</w:t>
            </w:r>
            <w:r w:rsidR="002B4F72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epok w historii Ziemi </w:t>
            </w:r>
          </w:p>
          <w:p w:rsidR="008A6530" w:rsidRPr="00A26F96" w:rsidRDefault="008A6530" w:rsidP="008A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ważnych wydarzeń w dziejach Ziemi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porównuje skład pierwotnej i obecnej atmosfery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 w:rsidR="002B4F72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na czym polegał eksperyment Millera i Ureya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etapy tworzenia się życia na Ziemi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eony i ery w historii dziejów Ziemi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interpretuje założenia i wyniki eksperymentu Millera i Ur</w:t>
            </w:r>
            <w:r w:rsidR="002B4F72"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ya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i podaje chronologię etapów powstawania życia na Ziemi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teorię endosymbiozy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wyjaśnia, w jaki sposób powstają skały osadowe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chronologicznie etapy życia w dziejach Ziemi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przyporządkowuje określone wydarzenia do ery w dziejach Ziemi 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i podaje przykłady współczesnej endosymbiozy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umie określić skalę czasową konkretnych wydarzeń w dziejach Ziemi </w:t>
            </w:r>
          </w:p>
        </w:tc>
      </w:tr>
      <w:tr w:rsidR="008A6530" w:rsidRPr="00A26F96" w:rsidTr="00A26F96">
        <w:tc>
          <w:tcPr>
            <w:tcW w:w="2244" w:type="dxa"/>
          </w:tcPr>
          <w:p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5.Antropogeneza </w:t>
            </w:r>
          </w:p>
        </w:tc>
        <w:tc>
          <w:tcPr>
            <w:tcW w:w="228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wie, że człowiek należy do naczelnych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na schemacie cechy wspólne człowieka i szympansa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zna przykłady przodków człowieka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przedstawicieli naczelnych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cech wspólnych człowieka i małp człekokształtnych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cech odróżniających człowieka od małp człekokształtnych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wie</w:t>
            </w:r>
            <w:r w:rsidR="002B4F72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czym były hominidy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przykłady przodków człowieka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omawia systematykę naczelnych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cechy wspólne naczelnych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podobieństwa i różnice pomiędzy człowiekiem i małpami człekokształtnymi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hominidów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hominidów z rodzaju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Homo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przodków człowieka </w:t>
            </w:r>
          </w:p>
          <w:p w:rsidR="008A6530" w:rsidRPr="00A26F96" w:rsidRDefault="008A6530" w:rsidP="008A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wie, że współczesny człowiek wywodzi się z Afryki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omawia na schemacie pokrewieństwo ewolucyjne naczelnych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wskazuje na schemacie cechy anatomiczne wspólne i odróżniające człowieka i małpy człekokształtne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chronologicznie znane hominidy i omawia ich najważniejsze cechy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analizuje drzewo rodowe człowieka, wskazuje kolejnych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przodków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omawia zmiany społeczne i kulturowe gatunku </w:t>
            </w:r>
            <w:r w:rsidRPr="00A26F96">
              <w:rPr>
                <w:rFonts w:ascii="Times New Roman" w:hAnsi="Times New Roman"/>
                <w:i/>
                <w:sz w:val="20"/>
                <w:szCs w:val="20"/>
              </w:rPr>
              <w:t>Homo sapiens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przygotowuje prezentację multimedialną na aktualnego stanu wiedzy na temat pochodzenia człowieka i przedstawia ją na forum klasy </w:t>
            </w:r>
          </w:p>
          <w:p w:rsidR="008A6530" w:rsidRPr="00A26F96" w:rsidRDefault="008A6530" w:rsidP="008A65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:rsidTr="008A6530">
        <w:tc>
          <w:tcPr>
            <w:tcW w:w="14144" w:type="dxa"/>
            <w:gridSpan w:val="7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VI. EKOLOGIA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1. Tolerancja ekologiczna organizmów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ekologia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środowisko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siedlisko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nisza ekologiczna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gatunki wskaźnikowe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tolerancja ekologiczna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zakres badań ekologicznych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klasyfikuje czynniki środowiska na biotyczne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br/>
              <w:t>i abiotyczne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przykłady gatunków wskaźnikowych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określa, czym się zajmują poziomy organizacji żywej materii w ekologii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różnice między siedliskiem a niszą ekologiczną organizmu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znaczenie organizmów o wąskiej tolerancji ekologicznej w stosunku do czynnika środowiska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definicję pojęć: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stenobionty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eurybionty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stenobiontów i eurybiontów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potrafi na wykresach wskazać zakres tolerancji wybranych gatunków wobec określonego czynnika środowiska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wskazuje znaczenie porostów jako gatunków wskaźnikowych zanieczyszczenia powietrza atmosferycznego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na wykresach odmienny zakres tolerancji gatunku w odniesieniu do dwóch różnych czynników środowiska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</w:t>
            </w:r>
            <w:r w:rsidR="002B4F72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jak funkcjonuje organizm w skrajnych wartościach czynnika ograniczającego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planuje doświadczenie mające na celu zbadanie zakresu tolerancji wybranego gatunku rośliny na działanie określonego czynnika środowiska 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przykłady gatunków wskaźnikowych stosowanych w diagnozowaniu wody i gleby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2. Cechy populacji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populacja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cechy charakteryzujące populację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typy struktury przestrzennej populacji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typy populacji ze względu na strukturę płciową i wiekową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terytorializm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struktura wiekowa populacji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struktura płciowa populacji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emigracja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imigracja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podstawowe typy rozmieszczenia populacji i podaje przykłady gatunków, które reprezentują każdy z nich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cechy organizmów terytorialnych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piramidę obrazującą strukturę wiekową i strukturę płciową populacji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na schematach rozpoznaje typ piramidy wiekowej populacji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przedstawia zalety i wady życia w grupie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na wybranych przykładach wpływ czynników na liczebność populacji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zależność mi</w:t>
            </w:r>
            <w:r w:rsidR="002B4F72">
              <w:rPr>
                <w:rFonts w:ascii="Times New Roman" w:hAnsi="Times New Roman"/>
                <w:sz w:val="20"/>
                <w:szCs w:val="20"/>
              </w:rPr>
              <w:t>ę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dzy strukturą przestrzenną populacji a terytorializmem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planuje obserwacje wybranej populacji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podstawowe modele wzrostu populacji oraz podaje przykłady gatunków, które je reprezentują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3. Stosunki między populacjami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klasyfikacje oddziaływań na antagoni</w:t>
            </w:r>
            <w:r w:rsidR="002B4F72">
              <w:rPr>
                <w:rFonts w:ascii="Times New Roman" w:hAnsi="Times New Roman"/>
                <w:sz w:val="20"/>
                <w:szCs w:val="20"/>
              </w:rPr>
              <w:t>sty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czne, nieantagonistyczn</w:t>
            </w:r>
            <w:r w:rsidR="002B4F72"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neutraln</w:t>
            </w:r>
            <w:r w:rsidR="002B4F72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przykłady oddziaływań antagonistycznych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skutki konkurencji wewnątrz</w:t>
            </w:r>
            <w:r w:rsidR="002B4F72">
              <w:rPr>
                <w:rFonts w:ascii="Times New Roman" w:hAnsi="Times New Roman"/>
                <w:sz w:val="20"/>
                <w:szCs w:val="20"/>
              </w:rPr>
              <w:t>-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międzygatunkowej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nieantagonistyczne interakcje międzygatunkowe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opisuje oddziaływania międzygatunkowe: ofiara – drapieżnik, roślina – roślinożerca, żywiciel – pasożyt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mechanizmy adaptacyjne: ofiar i drapieżników, roślin i roślinożerców, pasożytów i żywicieli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przykłady zachowań mutualistycznych i komensalistycznych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główne przyczyny i skutki konkurencji międzygatunkowej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analizuje na schemacie cykliczne zmiany liczebności populacji zjadającego i populacji zjadanego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różnice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drapieżnictwem, roślinożernością i pasożytnictwem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różnice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mutualizmem obligatoryjny</w:t>
            </w:r>
            <w:r w:rsidR="002B4F72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>i mutualizmem fakultatywnym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planuje doświadczenie mające na celu wykazanie istnienia konkurencji międzygatunkowej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tłumaczy skutki działania substancji allelopatycznych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 znaczenie dla funkcjonowania biocenozy pasożytów, drapieżników i roślinożerców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przykłady mutualizmu i komensalizmu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znaczenie doświadczeń Gausego w określeniu skutków konkurencji międzygatunkowej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4. Zależności pokarmowe w ekosystemach, czyli kto kogo zjada</w:t>
            </w:r>
          </w:p>
        </w:tc>
        <w:tc>
          <w:tcPr>
            <w:tcW w:w="2357" w:type="dxa"/>
            <w:gridSpan w:val="2"/>
          </w:tcPr>
          <w:p w:rsidR="002B4F72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definicję pojęć: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łańcuch troficzny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poziom troficzny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sieć troficzna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poziomy w łańcuchu troficznym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łańcucha troficznego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podaje przykłady sieci troficznej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postawie schematów konstruuje łańcuchy troficzne i sieci troficzne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zjawisko krążenia materii i przepływu energii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produkcję pierwotną i wtórną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produkcja pierwotna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(brutto, netto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), produkcja wtórna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(brutto, netto) </w:t>
            </w:r>
          </w:p>
          <w:p w:rsidR="008A6530" w:rsidRPr="00A26F96" w:rsidRDefault="008A6530" w:rsidP="003C27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rolę producentów, konsumentów i destruentów w ekosystemie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postawie schematów analizuje produkcję pierwotną i wtórną wybranego ekosystemu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tłumaczy</w:t>
            </w:r>
            <w:r w:rsidR="001E6336">
              <w:rPr>
                <w:rFonts w:ascii="Times New Roman" w:hAnsi="Times New Roman"/>
                <w:sz w:val="20"/>
                <w:szCs w:val="20"/>
              </w:rPr>
              <w:t>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dlaczego są korzystne krótkie sieci troficzne w naturalnych ekosystemach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wyjaśnia, dlaczego lasy równikowe i rafy koralowe są ekosystemami o najwyższej produktywności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5. Dojrzewanie ekosystemu – sukcesja ekologiczna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sukcesja ekologiczna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typy sukcesji ekologicznej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sukcesji pierwotnej i wtórnej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wyjaśnia, na czym polega sukcesja</w:t>
            </w:r>
          </w:p>
          <w:p w:rsidR="0026351D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etapy szeregu sukcesyjnego</w:t>
            </w:r>
          </w:p>
          <w:p w:rsidR="008A6530" w:rsidRPr="00A26F96" w:rsidRDefault="0026351D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A6530" w:rsidRPr="00A26F96">
              <w:rPr>
                <w:rFonts w:ascii="Times New Roman" w:hAnsi="Times New Roman"/>
                <w:sz w:val="20"/>
                <w:szCs w:val="20"/>
              </w:rPr>
              <w:t xml:space="preserve"> wyjaśnia, na czym polega eutrofizacja jezior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wyjaśnia pojęcie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klimaks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omawia przebieg sukcesji pierwotnej i wtórnej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wczesne i późne etapy sukcesji pierwotnej i wtórnej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przykładowych schematach rozpoznaje sukcesję pierwotna i wtórną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procesy glebotwórcze w sukcesji pierwotnej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:rsidTr="008A6530">
        <w:tc>
          <w:tcPr>
            <w:tcW w:w="14144" w:type="dxa"/>
            <w:gridSpan w:val="7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F96">
              <w:rPr>
                <w:rFonts w:ascii="Times New Roman" w:hAnsi="Times New Roman"/>
                <w:b/>
                <w:sz w:val="20"/>
                <w:szCs w:val="20"/>
              </w:rPr>
              <w:t>VII. BIORÓŻNORODNOŚĆ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1. Bioróżnorodność i bogactwo życia na Ziemi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definiuje pojęcia: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biologiczna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różnorodność genetyczna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gatunkowa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66F6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ekosystemów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czynniki kształtujące różnorodność biologiczną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określa różne poziomy różnorodności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biologicznej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czynniki kształtujące różnorodność biologiczną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porównuje różne poziomy różnorodności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biologicznej i podaje przykłady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wyjaśnia na wybranych przykładach czynniki kształtujące różnorodność biologiczną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analizuje różne poziomy różnorodności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biologicznej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wykazuje znaczenie ognisk różnorodności dla zachowania cennych gatunków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analizuje wpływ doboru sztucznego na zmienność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genetyczną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C2709" w:rsidRPr="00A26F96">
              <w:rPr>
                <w:rFonts w:ascii="Times New Roman" w:hAnsi="Times New Roman"/>
                <w:sz w:val="20"/>
                <w:szCs w:val="20"/>
              </w:rPr>
              <w:t>wyjaśnia,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dlaczego Polska jest jednym z nielicznych państw europejskich o dużej różnorodności gatunkowej</w:t>
            </w: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2. Przyczyny wzrostu zagrożenia różnorodności biologicznej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przyczyny wzrostu zagrożenia różnorodności biologicznej (niszczenie siedlisk; introdukcj</w:t>
            </w:r>
            <w:r w:rsidR="0026351D">
              <w:rPr>
                <w:rFonts w:ascii="Times New Roman" w:hAnsi="Times New Roman"/>
                <w:sz w:val="20"/>
                <w:szCs w:val="20"/>
              </w:rPr>
              <w:t>a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i zawleczeni</w:t>
            </w:r>
            <w:r w:rsidR="0026351D"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obcych gatunków roślin i zwierząt; wprowadzani</w:t>
            </w:r>
            <w:r w:rsidR="0026351D">
              <w:rPr>
                <w:rFonts w:ascii="Times New Roman" w:hAnsi="Times New Roman"/>
                <w:sz w:val="20"/>
                <w:szCs w:val="20"/>
              </w:rPr>
              <w:t>e</w:t>
            </w:r>
            <w:r w:rsidRPr="00A26F96">
              <w:rPr>
                <w:rFonts w:ascii="Times New Roman" w:hAnsi="Times New Roman"/>
                <w:sz w:val="20"/>
                <w:szCs w:val="20"/>
              </w:rPr>
              <w:t xml:space="preserve"> organizmów modyfikowanych genetycznie i gatunków synantropijnych)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wymienia przyczyny wzrostu zagrożenia różnorodności biologicznej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opisuje wymieranie gatunków wywołane niszczeniem siedlisk, rozwojem nowoczesnego rolnictwa, introdukcją i zawleczeniem obcych gatunków roślin i zwierząt, gatunków synantropijnych i zmodyfikowanych genetycznie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charakteryzuje gatunki introdukowane, zawleczone , synantropijne, zmodyfikowane genetycznie i ich wpływ na różnorodność biologiczną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ocenia skutki ograniczenia występowania gatunków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na wybranych przykładach analizuje skutki introdukcji i zawleczenia obcych gatunków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ocenia wpływ gatunków synantropijnych i zmodyfikowanych genetycznie na różnorodność biologiczną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sens ochrony bioróżnorodności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znaczenie czerwonych ksiąg roślin i zwierząt dla zachowania różnorodności biologicznej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różnice i skutki introdukcji i zawleczenia obcych gatunków do Polski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w przyszłości konsekwencje wprowadzania dla bioróżnorodności biologicznej organizmów modyfikowanych genetycznie w Polsce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opracowuje listę gatunków z Polskiej Czerwonej Księgi Roślin i Zwierząt występujących w najbliższym miejscu zamieszkania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opracowuje listę gatunków synantropijnych w najbliższym miejscu zamieszkania i ocenia ich wpływ na różnorodność biologiczną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:rsidTr="008A6530"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3. Działania prowadzące do wzrostu różnorodności biologicznej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dzieli ochronę gatunkową na całkowitą i częściową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cele ochrony gatunkowej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formy ochrony gatunkowej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(ogrody zoologiczne, botaniczne, arboretum)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porównuje ochronę gatunkową całkowitą i częściową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charakteryzuje proces restytucji i reintrodukcji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porównuje rolę ogrodów zoologicznych, </w:t>
            </w: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botanicznych, arboretum w ochronie gatunkowej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– opisuje wybrane przykłady restytucji i reintrodukcji gatunków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przedstawia wybrany ogród zoologiczny jako przykład ochrony gatunkowej 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analizuje rolę starych ras zwierząt gospodarskich i starych odmian roślin w zachowaniu bioróżnorodności biologicznej </w:t>
            </w:r>
          </w:p>
        </w:tc>
        <w:tc>
          <w:tcPr>
            <w:tcW w:w="2471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ocenia skuteczność reintrodukcji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dla ochrony gatunkowej na świecie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530" w:rsidRPr="00A26F96" w:rsidTr="008A6530">
        <w:trPr>
          <w:trHeight w:val="1559"/>
        </w:trPr>
        <w:tc>
          <w:tcPr>
            <w:tcW w:w="2244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lastRenderedPageBreak/>
              <w:t>4. Formy ochrony różnorodności biologicznej</w:t>
            </w:r>
          </w:p>
        </w:tc>
        <w:tc>
          <w:tcPr>
            <w:tcW w:w="2357" w:type="dxa"/>
            <w:gridSpan w:val="2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wymienia formy ochrony przyrody w Polsce 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formy ochrony przyrody w Polsce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ochronę ścisłą i częściową w parkach narodowych</w:t>
            </w:r>
          </w:p>
        </w:tc>
        <w:tc>
          <w:tcPr>
            <w:tcW w:w="2357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porównuje formy ochrony przyrody w Polsce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i wymienia rezerwaty biosfery w Polsce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 xml:space="preserve">– charakteryzuje parki w Polsce z Listy Światowego Dziedzictwa Dóbr Kultury i Przyrody UNESCO 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przedstawia strategię zrównoważonego rozwoju</w:t>
            </w:r>
          </w:p>
        </w:tc>
        <w:tc>
          <w:tcPr>
            <w:tcW w:w="2358" w:type="dxa"/>
          </w:tcPr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charakteryzuje wybrane parki narodowe w Polsce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lokalizuje na mapie Polski poszczególne parki narodowe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podaje przykłady rezerwatów przyrody, parków krajobrazowych, pomników przyrody, obszarów chronionego krajobrazu najbliższej okolicy</w:t>
            </w:r>
          </w:p>
          <w:p w:rsidR="008A6530" w:rsidRPr="00A26F96" w:rsidRDefault="008A6530" w:rsidP="008A65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analizuje strategię zrównoważonego rozwoju w skali kraju i świata dla zachowania różnorodności biologicznej</w:t>
            </w:r>
          </w:p>
        </w:tc>
        <w:tc>
          <w:tcPr>
            <w:tcW w:w="2471" w:type="dxa"/>
          </w:tcPr>
          <w:p w:rsidR="008A6530" w:rsidRPr="00A26F96" w:rsidRDefault="008A6530" w:rsidP="003C27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F96">
              <w:rPr>
                <w:rFonts w:ascii="Times New Roman" w:hAnsi="Times New Roman"/>
                <w:sz w:val="20"/>
                <w:szCs w:val="20"/>
              </w:rPr>
              <w:t>– ocenia znaczenie obszarów Natura 2000 pod kątem zachowania różnorodności biologicznej</w:t>
            </w:r>
          </w:p>
        </w:tc>
      </w:tr>
    </w:tbl>
    <w:p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A6530" w:rsidRPr="00A26F96" w:rsidRDefault="008A6530" w:rsidP="008A653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A26F96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A26F96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A26F96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A26F96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A26F96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4B" w:rsidRDefault="00F1644B" w:rsidP="00E13F7C">
      <w:pPr>
        <w:spacing w:after="0" w:line="240" w:lineRule="auto"/>
      </w:pPr>
      <w:r>
        <w:separator/>
      </w:r>
    </w:p>
  </w:endnote>
  <w:endnote w:type="continuationSeparator" w:id="1">
    <w:p w:rsidR="00F1644B" w:rsidRDefault="00F1644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30" w:rsidRDefault="00E50872">
    <w:pPr>
      <w:pStyle w:val="Stopka"/>
      <w:jc w:val="right"/>
    </w:pPr>
    <w:r>
      <w:fldChar w:fldCharType="begin"/>
    </w:r>
    <w:r w:rsidR="008A6530">
      <w:instrText xml:space="preserve"> PAGE   \* MERGEFORMAT </w:instrText>
    </w:r>
    <w:r>
      <w:fldChar w:fldCharType="separate"/>
    </w:r>
    <w:r w:rsidR="007C3453">
      <w:rPr>
        <w:noProof/>
      </w:rPr>
      <w:t>15</w:t>
    </w:r>
    <w:r>
      <w:rPr>
        <w:noProof/>
      </w:rPr>
      <w:fldChar w:fldCharType="end"/>
    </w:r>
  </w:p>
  <w:p w:rsidR="008A6530" w:rsidRDefault="008A65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4B" w:rsidRDefault="00F1644B" w:rsidP="00E13F7C">
      <w:pPr>
        <w:spacing w:after="0" w:line="240" w:lineRule="auto"/>
      </w:pPr>
      <w:r>
        <w:separator/>
      </w:r>
    </w:p>
  </w:footnote>
  <w:footnote w:type="continuationSeparator" w:id="1">
    <w:p w:rsidR="00F1644B" w:rsidRDefault="00F1644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540C0"/>
    <w:multiLevelType w:val="hybridMultilevel"/>
    <w:tmpl w:val="1AE4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97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33C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B97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6F6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1"/>
    <w:rsid w:val="00165622"/>
    <w:rsid w:val="00165A8A"/>
    <w:rsid w:val="00165B9E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336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240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0E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1C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806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B8D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51D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026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4F72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8A6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0B5B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709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98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747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3E7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A6E2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4B89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1D3E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1C6C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4DCD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29"/>
    <w:rsid w:val="007C30A9"/>
    <w:rsid w:val="007C3256"/>
    <w:rsid w:val="007C33F6"/>
    <w:rsid w:val="007C3453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B57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61C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17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C0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530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1E"/>
    <w:rsid w:val="008B5168"/>
    <w:rsid w:val="008B53DA"/>
    <w:rsid w:val="008B5573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BAC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C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33B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69B8"/>
    <w:rsid w:val="009A7037"/>
    <w:rsid w:val="009A73C0"/>
    <w:rsid w:val="009A777E"/>
    <w:rsid w:val="009A7907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0AF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490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6F96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4B7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B73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6F6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027"/>
    <w:rsid w:val="00B531E0"/>
    <w:rsid w:val="00B533BE"/>
    <w:rsid w:val="00B536FD"/>
    <w:rsid w:val="00B539F0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762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0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38C9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CC9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2F8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D10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05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48D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C6B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64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872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44B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1E77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1F7F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340"/>
    <w:rsid w:val="00F62455"/>
    <w:rsid w:val="00F626AE"/>
    <w:rsid w:val="00F62D81"/>
    <w:rsid w:val="00F6316C"/>
    <w:rsid w:val="00F636E4"/>
    <w:rsid w:val="00F63BC3"/>
    <w:rsid w:val="00F63C4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719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814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55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2D44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8A6530"/>
    <w:rPr>
      <w:rFonts w:ascii="Times New Roman" w:eastAsia="Times New Roman" w:hAnsi="Times New Roman"/>
    </w:rPr>
  </w:style>
  <w:style w:type="paragraph" w:customStyle="1" w:styleId="Styl1">
    <w:name w:val="Styl1"/>
    <w:basedOn w:val="Normalny"/>
    <w:link w:val="Styl1Znak"/>
    <w:qFormat/>
    <w:rsid w:val="008A6530"/>
    <w:pPr>
      <w:numPr>
        <w:numId w:val="4"/>
      </w:numPr>
      <w:spacing w:after="0"/>
      <w:ind w:left="227" w:hanging="227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EC33-0433-423F-80E4-61C16476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</TotalTime>
  <Pages>15</Pages>
  <Words>4917</Words>
  <Characters>29503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Fujitsu</cp:lastModifiedBy>
  <cp:revision>2</cp:revision>
  <dcterms:created xsi:type="dcterms:W3CDTF">2022-08-30T22:23:00Z</dcterms:created>
  <dcterms:modified xsi:type="dcterms:W3CDTF">2022-08-30T22:23:00Z</dcterms:modified>
</cp:coreProperties>
</file>